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7BA91">
      <w:pPr>
        <w:jc w:val="center"/>
        <w:rPr>
          <w:b/>
        </w:rPr>
      </w:pPr>
      <w:r>
        <w:rPr>
          <w:b/>
        </w:rPr>
        <w:t>ПРОЕКТ</w:t>
      </w:r>
    </w:p>
    <w:p w14:paraId="736BF894">
      <w:pPr>
        <w:spacing w:after="0"/>
        <w:jc w:val="center"/>
      </w:pPr>
      <w:r>
        <w:rPr>
          <w:b/>
        </w:rPr>
        <w:t xml:space="preserve">На Наредба </w:t>
      </w:r>
      <w:r>
        <w:rPr>
          <w:rStyle w:val="9"/>
          <w:b/>
        </w:rPr>
        <w:t xml:space="preserve">за изменение и допълнение на </w:t>
      </w:r>
      <w:r>
        <w:rPr>
          <w:b/>
          <w:spacing w:val="-2"/>
        </w:rPr>
        <w:t xml:space="preserve">НАРЕДБА </w:t>
      </w:r>
      <w:r>
        <w:rPr>
          <w:b/>
        </w:rPr>
        <w:t>за условията и реда за упражняване на правата на собственост на Община Съединение в търговски дружества с общинско участие в капитала и за участието на Общината в граждански дружества и в сдружения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4"/>
        </w:rPr>
        <w:t xml:space="preserve"> </w:t>
      </w:r>
      <w:r>
        <w:rPr>
          <w:b/>
        </w:rPr>
        <w:t>нестопанска</w:t>
      </w:r>
      <w:r>
        <w:rPr>
          <w:b/>
          <w:spacing w:val="-4"/>
        </w:rPr>
        <w:t xml:space="preserve"> </w:t>
      </w:r>
      <w:r>
        <w:rPr>
          <w:b/>
        </w:rPr>
        <w:t>цел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сключването</w:t>
      </w:r>
      <w:r>
        <w:rPr>
          <w:b/>
          <w:spacing w:val="-3"/>
        </w:rPr>
        <w:t xml:space="preserve"> </w:t>
      </w:r>
      <w:r>
        <w:rPr>
          <w:b/>
        </w:rPr>
        <w:t>на</w:t>
      </w:r>
      <w:r>
        <w:rPr>
          <w:b/>
          <w:spacing w:val="-3"/>
        </w:rPr>
        <w:t xml:space="preserve"> </w:t>
      </w:r>
      <w:r>
        <w:rPr>
          <w:b/>
        </w:rPr>
        <w:t>договори</w:t>
      </w:r>
      <w:r>
        <w:rPr>
          <w:b/>
          <w:spacing w:val="-5"/>
        </w:rPr>
        <w:t xml:space="preserve"> </w:t>
      </w:r>
      <w:r>
        <w:rPr>
          <w:b/>
        </w:rPr>
        <w:t>за</w:t>
      </w:r>
      <w:r>
        <w:rPr>
          <w:b/>
          <w:spacing w:val="-4"/>
        </w:rPr>
        <w:t xml:space="preserve"> </w:t>
      </w:r>
      <w:r>
        <w:rPr>
          <w:b/>
        </w:rPr>
        <w:t xml:space="preserve">съвместна </w:t>
      </w:r>
      <w:r>
        <w:rPr>
          <w:b/>
          <w:spacing w:val="-2"/>
        </w:rPr>
        <w:t>дейност</w:t>
      </w:r>
    </w:p>
    <w:p w14:paraId="30AFE12F">
      <w:pPr>
        <w:spacing w:after="0"/>
        <w:ind w:left="660" w:leftChars="275"/>
        <w:jc w:val="both"/>
        <w:rPr>
          <w:b/>
        </w:rPr>
      </w:pPr>
      <w:r>
        <w:rPr>
          <w:b/>
        </w:rPr>
        <w:t>§1. Изменя се и се допълва чл. 9, ал. 1, т. 23, както следва:</w:t>
      </w:r>
    </w:p>
    <w:p w14:paraId="0E4AFEA0">
      <w:pPr>
        <w:numPr>
          <w:ilvl w:val="0"/>
          <w:numId w:val="1"/>
        </w:numPr>
        <w:ind w:firstLine="720"/>
        <w:jc w:val="both"/>
        <w:rPr>
          <w:bCs/>
          <w:i/>
          <w:iCs/>
        </w:rPr>
      </w:pPr>
      <w:r>
        <w:rPr>
          <w:bCs/>
          <w:i/>
          <w:iCs/>
        </w:rPr>
        <w:t>съгласие за закупуване на дълготрайни активи над 10 000 лв. /5113,17 eur./, включително на лизинг;</w:t>
      </w:r>
    </w:p>
    <w:p w14:paraId="266C6183">
      <w:pPr>
        <w:spacing w:after="0"/>
        <w:ind w:left="660" w:leftChars="275"/>
        <w:jc w:val="both"/>
        <w:rPr>
          <w:b/>
        </w:rPr>
      </w:pPr>
      <w:r>
        <w:rPr>
          <w:b/>
        </w:rPr>
        <w:t>§2. Изменя се и се допълва чл. 10, ал. 1, т. 21, както следва:</w:t>
      </w:r>
    </w:p>
    <w:p w14:paraId="4AB716BD">
      <w:pPr>
        <w:numPr>
          <w:ilvl w:val="0"/>
          <w:numId w:val="2"/>
        </w:numPr>
        <w:ind w:firstLine="720"/>
        <w:jc w:val="both"/>
        <w:rPr>
          <w:bCs/>
          <w:i/>
          <w:iCs/>
        </w:rPr>
      </w:pPr>
      <w:r>
        <w:rPr>
          <w:bCs/>
          <w:i/>
          <w:iCs/>
        </w:rPr>
        <w:t>съгласие за закупуване на дълготрайни активи над 10 000 лв. /5113,17 eur./, включително на лизинг;</w:t>
      </w:r>
    </w:p>
    <w:p w14:paraId="479FEED5">
      <w:pPr>
        <w:spacing w:after="0"/>
        <w:ind w:left="660" w:leftChars="275"/>
        <w:jc w:val="both"/>
        <w:rPr>
          <w:b/>
        </w:rPr>
      </w:pPr>
      <w:r>
        <w:rPr>
          <w:b/>
        </w:rPr>
        <w:t>§3. Изменя се и се допълва чл. 31, както следва:</w:t>
      </w:r>
    </w:p>
    <w:p w14:paraId="1CF50F0F">
      <w:pPr>
        <w:ind w:firstLine="720"/>
        <w:jc w:val="both"/>
        <w:rPr>
          <w:bCs/>
          <w:i/>
          <w:iCs/>
        </w:rPr>
      </w:pPr>
      <w:r>
        <w:rPr>
          <w:bCs/>
          <w:i/>
          <w:iCs/>
        </w:rPr>
        <w:t>Чл. 31. (1) Решения за участие на Общината като съдружник в гражданско дружество, както и прекратяването на участието, при участие на Общината с парична сума до 1 000 лева /511.32 eur./ се взема от Кмета на Общината.</w:t>
      </w:r>
    </w:p>
    <w:p w14:paraId="27EEA961">
      <w:pPr>
        <w:ind w:firstLine="720"/>
        <w:jc w:val="both"/>
        <w:rPr>
          <w:bCs/>
          <w:i/>
          <w:iCs/>
        </w:rPr>
      </w:pPr>
      <w:r>
        <w:rPr>
          <w:bCs/>
          <w:i/>
          <w:iCs/>
        </w:rPr>
        <w:t>(2) При участие на общината с парична сума над 1 000 лева /511.32 eur./, както и при участие със свободни имоти и вещи или вещни права върху имоти, частна общинска собственост, като непарична вноска в гражданското дружество, се взема решение от Общински съвет Съединение.</w:t>
      </w:r>
    </w:p>
    <w:p w14:paraId="512F81B9">
      <w:pPr>
        <w:ind w:firstLine="720"/>
        <w:jc w:val="both"/>
        <w:rPr>
          <w:b/>
        </w:rPr>
      </w:pPr>
      <w:r>
        <w:rPr>
          <w:b/>
        </w:rPr>
        <w:t>§4. Изменя се и се допълва т. 2.6. от Образец № 6 към Приложение № 1, както следва:</w:t>
      </w:r>
    </w:p>
    <w:p w14:paraId="3183DE3C">
      <w:pPr>
        <w:ind w:firstLine="720"/>
        <w:jc w:val="both"/>
        <w:rPr>
          <w:bCs/>
          <w:i/>
          <w:iCs/>
        </w:rPr>
      </w:pPr>
      <w:r>
        <w:rPr>
          <w:bCs/>
          <w:i/>
          <w:iCs/>
        </w:rPr>
        <w:t>2.6. Да разходва средства на Дружеството за представителни цели, необходими за дейността на същото, при положителен финансов резултат за последното тримесечие, в размер до 0.5 на сто от приходите, но не повече от 1 000 (хиляда) лева /511.32 eur./ годишно на база отчетените приходи.</w:t>
      </w:r>
    </w:p>
    <w:p w14:paraId="709DF2AB">
      <w:pPr>
        <w:ind w:firstLine="720"/>
        <w:jc w:val="both"/>
        <w:rPr>
          <w:b/>
        </w:rPr>
      </w:pPr>
      <w:r>
        <w:rPr>
          <w:b/>
        </w:rPr>
        <w:t>§5. Изменя се и се допълва т. 2.7. от Образец № 7 към Приложение № 1, както следва:</w:t>
      </w:r>
    </w:p>
    <w:p w14:paraId="36B6A889">
      <w:pPr>
        <w:ind w:firstLine="720"/>
        <w:jc w:val="both"/>
        <w:rPr>
          <w:bCs/>
          <w:i/>
          <w:iCs/>
        </w:rPr>
      </w:pPr>
      <w:r>
        <w:rPr>
          <w:bCs/>
          <w:i/>
          <w:iCs/>
        </w:rPr>
        <w:t>2.7. Да разходва средства на Дружеството за представителни цели, необходими за дейността на същото, при положителен финансов резултат за последното тримесечие, в размер до 0.5 на сто от приходите, но не повече от 1 000 (хиляда) лева /511.32 eur./ годишно на база отчетените приходи.</w:t>
      </w:r>
    </w:p>
    <w:p w14:paraId="36BB3A2D">
      <w:pPr>
        <w:ind w:firstLine="720"/>
        <w:jc w:val="both"/>
        <w:rPr>
          <w:b/>
        </w:rPr>
      </w:pPr>
      <w:r>
        <w:rPr>
          <w:b/>
        </w:rPr>
        <w:t>§6. Изменя се и се допълва таблицата към Приложение № 2, раздел 1 “стойност на активите”, както следва:</w:t>
      </w:r>
    </w:p>
    <w:tbl>
      <w:tblPr>
        <w:tblStyle w:val="14"/>
        <w:tblW w:w="0" w:type="auto"/>
        <w:tblInd w:w="1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"/>
        <w:gridCol w:w="2485"/>
        <w:gridCol w:w="908"/>
        <w:gridCol w:w="3897"/>
      </w:tblGrid>
      <w:tr w14:paraId="579F0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958" w:type="dxa"/>
            <w:vMerge w:val="restart"/>
          </w:tcPr>
          <w:p w14:paraId="0751AA80">
            <w:pPr>
              <w:pStyle w:val="13"/>
              <w:rPr>
                <w:color w:val="auto"/>
                <w:highlight w:val="none"/>
              </w:rPr>
            </w:pPr>
          </w:p>
          <w:p w14:paraId="44FE8FEB">
            <w:pPr>
              <w:pStyle w:val="13"/>
              <w:spacing w:before="110"/>
              <w:rPr>
                <w:color w:val="auto"/>
                <w:highlight w:val="none"/>
              </w:rPr>
            </w:pPr>
          </w:p>
          <w:p w14:paraId="31894A41">
            <w:pPr>
              <w:pStyle w:val="13"/>
              <w:ind w:left="1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1.</w:t>
            </w:r>
          </w:p>
        </w:tc>
        <w:tc>
          <w:tcPr>
            <w:tcW w:w="2485" w:type="dxa"/>
            <w:vMerge w:val="restart"/>
          </w:tcPr>
          <w:p w14:paraId="19638C06">
            <w:pPr>
              <w:pStyle w:val="13"/>
              <w:rPr>
                <w:color w:val="auto"/>
                <w:highlight w:val="none"/>
              </w:rPr>
            </w:pPr>
          </w:p>
          <w:p w14:paraId="5667EEBB">
            <w:pPr>
              <w:pStyle w:val="13"/>
              <w:spacing w:before="110"/>
              <w:rPr>
                <w:color w:val="auto"/>
                <w:highlight w:val="none"/>
              </w:rPr>
            </w:pPr>
          </w:p>
          <w:p w14:paraId="06E74206">
            <w:pPr>
              <w:pStyle w:val="13"/>
              <w:ind w:left="170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Стойност на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spacing w:val="-2"/>
                <w:highlight w:val="none"/>
              </w:rPr>
              <w:t>активите</w:t>
            </w:r>
          </w:p>
        </w:tc>
        <w:tc>
          <w:tcPr>
            <w:tcW w:w="908" w:type="dxa"/>
          </w:tcPr>
          <w:p w14:paraId="582E583F">
            <w:pPr>
              <w:pStyle w:val="13"/>
              <w:spacing w:before="43" w:line="255" w:lineRule="exact"/>
              <w:ind w:left="8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1.1.</w:t>
            </w:r>
          </w:p>
        </w:tc>
        <w:tc>
          <w:tcPr>
            <w:tcW w:w="3897" w:type="dxa"/>
          </w:tcPr>
          <w:p w14:paraId="4CA50D38">
            <w:pPr>
              <w:pStyle w:val="13"/>
              <w:spacing w:before="43" w:line="255" w:lineRule="exact"/>
              <w:ind w:left="8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 xml:space="preserve">до 500 хил. </w:t>
            </w:r>
            <w:r>
              <w:rPr>
                <w:color w:val="auto"/>
                <w:spacing w:val="-5"/>
                <w:highlight w:val="none"/>
              </w:rPr>
              <w:t>лв. /</w:t>
            </w:r>
            <w:r>
              <w:rPr>
                <w:color w:val="auto"/>
                <w:highlight w:val="none"/>
                <w:lang w:val="en-US"/>
              </w:rPr>
              <w:t>25</w:t>
            </w:r>
            <w:r>
              <w:rPr>
                <w:color w:val="auto"/>
                <w:highlight w:val="none"/>
              </w:rPr>
              <w:t>5,</w:t>
            </w:r>
            <w:r>
              <w:rPr>
                <w:color w:val="auto"/>
                <w:highlight w:val="none"/>
                <w:lang w:val="en-US"/>
              </w:rPr>
              <w:t>6</w:t>
            </w:r>
            <w:r>
              <w:rPr>
                <w:color w:val="auto"/>
                <w:highlight w:val="none"/>
              </w:rPr>
              <w:t xml:space="preserve">5 хил. </w:t>
            </w:r>
            <w:r>
              <w:rPr>
                <w:color w:val="auto"/>
                <w:highlight w:val="none"/>
                <w:lang w:val="en-US"/>
              </w:rPr>
              <w:t>eur</w:t>
            </w:r>
          </w:p>
        </w:tc>
      </w:tr>
      <w:tr w14:paraId="6AAE55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58" w:type="dxa"/>
            <w:vMerge w:val="continue"/>
            <w:tcBorders>
              <w:top w:val="nil"/>
            </w:tcBorders>
          </w:tcPr>
          <w:p w14:paraId="1A4CDA98">
            <w:pPr>
              <w:rPr>
                <w:color w:val="auto"/>
                <w:sz w:val="2"/>
                <w:szCs w:val="2"/>
                <w:highlight w:val="none"/>
              </w:rPr>
            </w:pPr>
          </w:p>
        </w:tc>
        <w:tc>
          <w:tcPr>
            <w:tcW w:w="2485" w:type="dxa"/>
            <w:vMerge w:val="continue"/>
            <w:tcBorders>
              <w:top w:val="nil"/>
            </w:tcBorders>
          </w:tcPr>
          <w:p w14:paraId="0C1E5DA2">
            <w:pPr>
              <w:rPr>
                <w:color w:val="auto"/>
                <w:sz w:val="2"/>
                <w:szCs w:val="2"/>
                <w:highlight w:val="none"/>
              </w:rPr>
            </w:pPr>
          </w:p>
        </w:tc>
        <w:tc>
          <w:tcPr>
            <w:tcW w:w="908" w:type="dxa"/>
          </w:tcPr>
          <w:p w14:paraId="76F86BD6">
            <w:pPr>
              <w:pStyle w:val="13"/>
              <w:spacing w:before="46" w:line="255" w:lineRule="exact"/>
              <w:ind w:left="80" w:right="2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1.2.</w:t>
            </w:r>
          </w:p>
        </w:tc>
        <w:tc>
          <w:tcPr>
            <w:tcW w:w="3897" w:type="dxa"/>
          </w:tcPr>
          <w:p w14:paraId="74DB1E20">
            <w:pPr>
              <w:pStyle w:val="13"/>
              <w:spacing w:before="46" w:line="255" w:lineRule="exact"/>
              <w:ind w:left="8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над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>500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>хил. лв/</w:t>
            </w:r>
            <w:r>
              <w:rPr>
                <w:color w:val="auto"/>
                <w:highlight w:val="none"/>
                <w:lang w:val="en-US"/>
              </w:rPr>
              <w:t>25</w:t>
            </w:r>
            <w:r>
              <w:rPr>
                <w:color w:val="auto"/>
                <w:highlight w:val="none"/>
              </w:rPr>
              <w:t>5,</w:t>
            </w:r>
            <w:r>
              <w:rPr>
                <w:color w:val="auto"/>
                <w:highlight w:val="none"/>
                <w:lang w:val="en-US"/>
              </w:rPr>
              <w:t>6</w:t>
            </w:r>
            <w:r>
              <w:rPr>
                <w:color w:val="auto"/>
                <w:highlight w:val="none"/>
              </w:rPr>
              <w:t xml:space="preserve">5 хил. </w:t>
            </w:r>
            <w:r>
              <w:rPr>
                <w:color w:val="auto"/>
                <w:highlight w:val="none"/>
                <w:lang w:val="en-US"/>
              </w:rPr>
              <w:t>eur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>до 1500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 xml:space="preserve">хил. </w:t>
            </w:r>
            <w:r>
              <w:rPr>
                <w:color w:val="auto"/>
                <w:spacing w:val="-5"/>
                <w:highlight w:val="none"/>
              </w:rPr>
              <w:t>лв.</w:t>
            </w:r>
            <w:r>
              <w:rPr>
                <w:color w:val="auto"/>
                <w:highlight w:val="none"/>
                <w:lang w:val="en-US"/>
              </w:rPr>
              <w:t xml:space="preserve"> </w:t>
            </w:r>
            <w:r>
              <w:rPr>
                <w:color w:val="auto"/>
                <w:highlight w:val="none"/>
              </w:rPr>
              <w:t>/</w:t>
            </w:r>
            <w:r>
              <w:rPr>
                <w:color w:val="auto"/>
                <w:highlight w:val="none"/>
                <w:lang w:val="en-US"/>
              </w:rPr>
              <w:t>766</w:t>
            </w:r>
            <w:r>
              <w:rPr>
                <w:color w:val="auto"/>
                <w:highlight w:val="none"/>
              </w:rPr>
              <w:t>, 94 хил.</w:t>
            </w:r>
            <w:r>
              <w:rPr>
                <w:color w:val="auto"/>
                <w:spacing w:val="-5"/>
                <w:highlight w:val="none"/>
                <w:lang w:val="en-US"/>
              </w:rPr>
              <w:t xml:space="preserve"> eur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</w:p>
        </w:tc>
      </w:tr>
      <w:tr w14:paraId="223EAE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958" w:type="dxa"/>
            <w:vMerge w:val="continue"/>
            <w:tcBorders>
              <w:top w:val="nil"/>
            </w:tcBorders>
          </w:tcPr>
          <w:p w14:paraId="6DC74F37">
            <w:pPr>
              <w:rPr>
                <w:color w:val="auto"/>
                <w:sz w:val="2"/>
                <w:szCs w:val="2"/>
                <w:highlight w:val="none"/>
              </w:rPr>
            </w:pPr>
          </w:p>
        </w:tc>
        <w:tc>
          <w:tcPr>
            <w:tcW w:w="2485" w:type="dxa"/>
            <w:vMerge w:val="continue"/>
            <w:tcBorders>
              <w:top w:val="nil"/>
            </w:tcBorders>
          </w:tcPr>
          <w:p w14:paraId="6DE85400">
            <w:pPr>
              <w:rPr>
                <w:color w:val="auto"/>
                <w:sz w:val="2"/>
                <w:szCs w:val="2"/>
                <w:highlight w:val="none"/>
              </w:rPr>
            </w:pPr>
          </w:p>
        </w:tc>
        <w:tc>
          <w:tcPr>
            <w:tcW w:w="908" w:type="dxa"/>
          </w:tcPr>
          <w:p w14:paraId="332EBE35">
            <w:pPr>
              <w:pStyle w:val="13"/>
              <w:spacing w:before="38" w:line="255" w:lineRule="exact"/>
              <w:ind w:left="8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1.3.</w:t>
            </w:r>
          </w:p>
        </w:tc>
        <w:tc>
          <w:tcPr>
            <w:tcW w:w="3897" w:type="dxa"/>
          </w:tcPr>
          <w:p w14:paraId="71F674DA">
            <w:pPr>
              <w:pStyle w:val="13"/>
              <w:spacing w:before="38" w:line="255" w:lineRule="exact"/>
              <w:ind w:left="8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над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>1500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>хил. лв.</w:t>
            </w:r>
            <w:r>
              <w:rPr>
                <w:color w:val="auto"/>
                <w:highlight w:val="none"/>
                <w:lang w:val="en-US"/>
              </w:rPr>
              <w:t>/766</w:t>
            </w:r>
            <w:r>
              <w:rPr>
                <w:color w:val="auto"/>
                <w:highlight w:val="none"/>
              </w:rPr>
              <w:t>, 94 хил.</w:t>
            </w:r>
            <w:r>
              <w:rPr>
                <w:color w:val="auto"/>
                <w:spacing w:val="-5"/>
                <w:highlight w:val="none"/>
                <w:lang w:val="en-US"/>
              </w:rPr>
              <w:t xml:space="preserve"> eur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>до 5000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 xml:space="preserve">хил. </w:t>
            </w:r>
            <w:r>
              <w:rPr>
                <w:color w:val="auto"/>
                <w:spacing w:val="-5"/>
                <w:highlight w:val="none"/>
              </w:rPr>
              <w:t xml:space="preserve">лв./2556,48 </w:t>
            </w:r>
            <w:r>
              <w:rPr>
                <w:color w:val="auto"/>
                <w:spacing w:val="-5"/>
                <w:highlight w:val="none"/>
                <w:lang w:val="en-US"/>
              </w:rPr>
              <w:t>eur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</w:p>
        </w:tc>
      </w:tr>
      <w:tr w14:paraId="3D8C8C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958" w:type="dxa"/>
            <w:vMerge w:val="continue"/>
            <w:tcBorders>
              <w:top w:val="nil"/>
            </w:tcBorders>
          </w:tcPr>
          <w:p w14:paraId="6E0D9863">
            <w:pPr>
              <w:rPr>
                <w:color w:val="auto"/>
                <w:sz w:val="2"/>
                <w:szCs w:val="2"/>
                <w:highlight w:val="none"/>
              </w:rPr>
            </w:pPr>
          </w:p>
        </w:tc>
        <w:tc>
          <w:tcPr>
            <w:tcW w:w="2485" w:type="dxa"/>
            <w:vMerge w:val="continue"/>
            <w:tcBorders>
              <w:top w:val="nil"/>
            </w:tcBorders>
          </w:tcPr>
          <w:p w14:paraId="232A2649">
            <w:pPr>
              <w:rPr>
                <w:color w:val="auto"/>
                <w:sz w:val="2"/>
                <w:szCs w:val="2"/>
                <w:highlight w:val="none"/>
              </w:rPr>
            </w:pPr>
          </w:p>
        </w:tc>
        <w:tc>
          <w:tcPr>
            <w:tcW w:w="908" w:type="dxa"/>
          </w:tcPr>
          <w:p w14:paraId="128AE29A">
            <w:pPr>
              <w:pStyle w:val="13"/>
              <w:spacing w:before="53" w:line="255" w:lineRule="exact"/>
              <w:ind w:left="8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1.4.</w:t>
            </w:r>
          </w:p>
        </w:tc>
        <w:tc>
          <w:tcPr>
            <w:tcW w:w="3897" w:type="dxa"/>
          </w:tcPr>
          <w:p w14:paraId="5936222B">
            <w:pPr>
              <w:pStyle w:val="13"/>
              <w:spacing w:before="53" w:line="255" w:lineRule="exact"/>
              <w:ind w:left="8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над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>5000 хил. лв .</w:t>
            </w:r>
            <w:r>
              <w:rPr>
                <w:color w:val="auto"/>
                <w:spacing w:val="-5"/>
                <w:highlight w:val="none"/>
              </w:rPr>
              <w:t xml:space="preserve">/2556,48 хил. </w:t>
            </w:r>
            <w:r>
              <w:rPr>
                <w:color w:val="auto"/>
                <w:spacing w:val="-5"/>
                <w:highlight w:val="none"/>
                <w:lang w:val="en-US"/>
              </w:rPr>
              <w:t>eur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>до     15</w:t>
            </w:r>
            <w:r>
              <w:rPr>
                <w:color w:val="auto"/>
                <w:spacing w:val="-3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 xml:space="preserve">000 хил. </w:t>
            </w:r>
            <w:r>
              <w:rPr>
                <w:color w:val="auto"/>
                <w:spacing w:val="-5"/>
                <w:highlight w:val="none"/>
              </w:rPr>
              <w:t xml:space="preserve">лв. /7669,43 хил. </w:t>
            </w:r>
            <w:r>
              <w:rPr>
                <w:color w:val="auto"/>
                <w:spacing w:val="-5"/>
                <w:highlight w:val="none"/>
                <w:lang w:val="en-US"/>
              </w:rPr>
              <w:t>eur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</w:p>
        </w:tc>
      </w:tr>
      <w:tr w14:paraId="7D4E3F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958" w:type="dxa"/>
            <w:vMerge w:val="continue"/>
            <w:tcBorders>
              <w:top w:val="nil"/>
            </w:tcBorders>
          </w:tcPr>
          <w:p w14:paraId="4ADAD17A">
            <w:pPr>
              <w:rPr>
                <w:color w:val="auto"/>
                <w:sz w:val="2"/>
                <w:szCs w:val="2"/>
                <w:highlight w:val="none"/>
              </w:rPr>
            </w:pPr>
          </w:p>
        </w:tc>
        <w:tc>
          <w:tcPr>
            <w:tcW w:w="2485" w:type="dxa"/>
            <w:vMerge w:val="continue"/>
            <w:tcBorders>
              <w:top w:val="nil"/>
            </w:tcBorders>
          </w:tcPr>
          <w:p w14:paraId="647AB175">
            <w:pPr>
              <w:rPr>
                <w:color w:val="auto"/>
                <w:sz w:val="2"/>
                <w:szCs w:val="2"/>
                <w:highlight w:val="none"/>
              </w:rPr>
            </w:pPr>
          </w:p>
        </w:tc>
        <w:tc>
          <w:tcPr>
            <w:tcW w:w="908" w:type="dxa"/>
          </w:tcPr>
          <w:p w14:paraId="09157E91">
            <w:pPr>
              <w:pStyle w:val="13"/>
              <w:spacing w:before="38" w:line="255" w:lineRule="exact"/>
              <w:ind w:left="80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1.5.</w:t>
            </w:r>
          </w:p>
        </w:tc>
        <w:tc>
          <w:tcPr>
            <w:tcW w:w="3897" w:type="dxa"/>
          </w:tcPr>
          <w:p w14:paraId="584D9108">
            <w:pPr>
              <w:pStyle w:val="13"/>
              <w:spacing w:before="38" w:line="255" w:lineRule="exact"/>
              <w:ind w:left="8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над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 xml:space="preserve">15 000 хил. </w:t>
            </w:r>
            <w:r>
              <w:rPr>
                <w:color w:val="auto"/>
                <w:spacing w:val="-5"/>
                <w:highlight w:val="none"/>
              </w:rPr>
              <w:t xml:space="preserve">лв. /7669,43 хил. </w:t>
            </w:r>
            <w:r>
              <w:rPr>
                <w:color w:val="auto"/>
                <w:spacing w:val="-5"/>
                <w:highlight w:val="none"/>
                <w:lang w:val="en-US"/>
              </w:rPr>
              <w:t>eur</w:t>
            </w:r>
            <w:r>
              <w:rPr>
                <w:color w:val="auto"/>
                <w:highlight w:val="none"/>
              </w:rPr>
              <w:t xml:space="preserve"> </w:t>
            </w:r>
            <w:r>
              <w:rPr>
                <w:color w:val="auto"/>
                <w:spacing w:val="-1"/>
                <w:highlight w:val="none"/>
              </w:rPr>
              <w:t xml:space="preserve"> </w:t>
            </w:r>
          </w:p>
        </w:tc>
      </w:tr>
    </w:tbl>
    <w:p w14:paraId="33C6A864">
      <w:pPr>
        <w:ind w:firstLine="720"/>
        <w:jc w:val="both"/>
        <w:rPr>
          <w:b/>
          <w:i/>
          <w:iCs/>
          <w:color w:val="auto"/>
          <w:highlight w:val="none"/>
        </w:rPr>
      </w:pPr>
    </w:p>
    <w:p w14:paraId="1D6687E8">
      <w:pPr>
        <w:ind w:firstLine="720"/>
        <w:jc w:val="both"/>
      </w:pPr>
      <w:r>
        <w:rPr>
          <w:b/>
          <w:i/>
          <w:iCs/>
        </w:rPr>
        <w:t xml:space="preserve">§7. </w:t>
      </w:r>
      <w:r>
        <w:rPr>
          <w:rFonts w:eastAsia="SimSun"/>
          <w:b/>
          <w:color w:val="000000"/>
          <w:lang w:val="en-US" w:eastAsia="zh-CN" w:bidi="ar"/>
        </w:rPr>
        <w:t>„Позоваванията на думата „лев“ и нейните производни в текст</w:t>
      </w:r>
      <w:r>
        <w:rPr>
          <w:rFonts w:eastAsia="SimSun"/>
          <w:b/>
          <w:color w:val="000000"/>
          <w:lang w:eastAsia="zh-CN" w:bidi="ar"/>
        </w:rPr>
        <w:t>овете</w:t>
      </w:r>
      <w:r>
        <w:rPr>
          <w:rFonts w:eastAsia="SimSun"/>
          <w:b/>
          <w:color w:val="000000"/>
          <w:lang w:val="en-US" w:eastAsia="zh-CN" w:bidi="ar"/>
        </w:rPr>
        <w:t xml:space="preserve"> на</w:t>
      </w:r>
      <w:r>
        <w:rPr>
          <w:rFonts w:eastAsia="SimSun"/>
          <w:b/>
          <w:color w:val="000000"/>
          <w:lang w:eastAsia="zh-CN" w:bidi="ar"/>
        </w:rPr>
        <w:t xml:space="preserve"> наредбата, незасегнати от измененията, извършени с</w:t>
      </w:r>
      <w:r>
        <w:rPr>
          <w:rFonts w:eastAsia="SimSun"/>
          <w:b/>
          <w:color w:val="000000"/>
          <w:lang w:val="en-US" w:eastAsia="zh-CN" w:bidi="ar"/>
        </w:rPr>
        <w:t xml:space="preserve"> настоящата наредба</w:t>
      </w:r>
      <w:r>
        <w:rPr>
          <w:rFonts w:eastAsia="SimSun"/>
          <w:b/>
          <w:color w:val="000000"/>
          <w:lang w:eastAsia="zh-CN" w:bidi="ar"/>
        </w:rPr>
        <w:t>,</w:t>
      </w:r>
      <w:r>
        <w:rPr>
          <w:rFonts w:eastAsia="SimSun"/>
          <w:b/>
          <w:color w:val="000000"/>
          <w:lang w:val="en-US" w:eastAsia="zh-CN" w:bidi="ar"/>
        </w:rPr>
        <w:t xml:space="preserve"> се заменят с думата „евро“ и нейните производни“</w:t>
      </w:r>
      <w:r>
        <w:rPr>
          <w:rFonts w:eastAsia="SimSun"/>
          <w:b/>
          <w:color w:val="000000"/>
          <w:lang w:eastAsia="zh-CN" w:bidi="ar"/>
        </w:rPr>
        <w:t>.</w:t>
      </w:r>
    </w:p>
    <w:p w14:paraId="7B78D157">
      <w:pPr>
        <w:spacing w:after="0"/>
        <w:ind w:left="660" w:leftChars="275"/>
        <w:jc w:val="both"/>
      </w:pPr>
      <w:r>
        <w:rPr>
          <w:b/>
        </w:rPr>
        <w:t>Преходни и заключителни разпоредби</w:t>
      </w:r>
    </w:p>
    <w:p w14:paraId="2D72D5F8">
      <w:pPr>
        <w:spacing w:after="310"/>
        <w:ind w:left="12" w:leftChars="5" w:firstLine="504" w:firstLineChars="210"/>
        <w:jc w:val="both"/>
        <w:rPr>
          <w:i/>
          <w:iCs/>
        </w:rPr>
      </w:pPr>
      <w:r>
        <w:rPr>
          <w:b/>
          <w:bCs/>
          <w:i/>
          <w:iCs/>
        </w:rPr>
        <w:t xml:space="preserve">§1. </w:t>
      </w:r>
      <w:r>
        <w:rPr>
          <w:i/>
          <w:iCs/>
        </w:rPr>
        <w:t xml:space="preserve">Настоящата наредба влиза в сила, считано от </w:t>
      </w:r>
      <w:r>
        <w:rPr>
          <w:rFonts w:eastAsia="Tahoma"/>
          <w:i/>
          <w:iCs/>
          <w:shd w:val="clear" w:color="auto" w:fill="FFFFFF"/>
        </w:rPr>
        <w:t>датата, определена в Решение на Съвета на Европейския съюз за приемането на еврото от Република България, прието в съответствие с </w:t>
      </w:r>
      <w:r>
        <w:fldChar w:fldCharType="begin"/>
      </w:r>
      <w:r>
        <w:instrText xml:space="preserve"> HYPERLINK "javascript:%20NavigateDocument('%D0%94%D0%A4%D0%95%D0%A1" \l "%D1%87%D0%BB140_%D1%822');" </w:instrText>
      </w:r>
      <w:r>
        <w:fldChar w:fldCharType="separate"/>
      </w:r>
      <w:r>
        <w:rPr>
          <w:rStyle w:val="8"/>
          <w:rFonts w:eastAsia="Tahoma"/>
          <w:i/>
          <w:iCs/>
          <w:color w:val="auto"/>
          <w:u w:val="none"/>
          <w:shd w:val="clear" w:color="auto" w:fill="FFFFFF"/>
        </w:rPr>
        <w:t>чл. 140, параграф 2</w:t>
      </w:r>
      <w:r>
        <w:rPr>
          <w:rStyle w:val="8"/>
          <w:rFonts w:eastAsia="Tahoma"/>
          <w:i/>
          <w:iCs/>
          <w:color w:val="auto"/>
          <w:u w:val="none"/>
          <w:shd w:val="clear" w:color="auto" w:fill="FFFFFF"/>
        </w:rPr>
        <w:fldChar w:fldCharType="end"/>
      </w:r>
      <w:r>
        <w:rPr>
          <w:rFonts w:eastAsia="Tahoma"/>
          <w:i/>
          <w:iCs/>
          <w:shd w:val="clear" w:color="auto" w:fill="FFFFFF"/>
        </w:rPr>
        <w:t> от </w:t>
      </w:r>
      <w:r>
        <w:fldChar w:fldCharType="begin"/>
      </w:r>
      <w:r>
        <w:instrText xml:space="preserve"> HYPERLINK "javascript:%20NavigateDocument('%D0%94%D0%A4%D0%95%D0%A1');" </w:instrText>
      </w:r>
      <w:r>
        <w:fldChar w:fldCharType="separate"/>
      </w:r>
      <w:r>
        <w:rPr>
          <w:rStyle w:val="8"/>
          <w:rFonts w:eastAsia="Tahoma"/>
          <w:i/>
          <w:iCs/>
          <w:color w:val="auto"/>
          <w:u w:val="none"/>
          <w:shd w:val="clear" w:color="auto" w:fill="FFFFFF"/>
        </w:rPr>
        <w:t>ДФЕС</w:t>
      </w:r>
      <w:r>
        <w:rPr>
          <w:rStyle w:val="8"/>
          <w:rFonts w:eastAsia="Tahoma"/>
          <w:i/>
          <w:iCs/>
          <w:color w:val="auto"/>
          <w:u w:val="none"/>
          <w:shd w:val="clear" w:color="auto" w:fill="FFFFFF"/>
        </w:rPr>
        <w:fldChar w:fldCharType="end"/>
      </w:r>
      <w:r>
        <w:rPr>
          <w:rFonts w:eastAsia="Tahoma"/>
          <w:i/>
          <w:iCs/>
          <w:shd w:val="clear" w:color="auto" w:fill="FFFFFF"/>
        </w:rPr>
        <w:t>, и Регламент на Съвета на Европейския съюз, приет в съответствие с </w:t>
      </w:r>
      <w:r>
        <w:fldChar w:fldCharType="begin"/>
      </w:r>
      <w:r>
        <w:instrText xml:space="preserve"> HYPERLINK "javascript:%20NavigateDocument('%D0%94%D0%A4%D0%95%D0%A1" \l "%D1%87%D0%BB140_%D1%823');" </w:instrText>
      </w:r>
      <w:r>
        <w:fldChar w:fldCharType="separate"/>
      </w:r>
      <w:r>
        <w:rPr>
          <w:rStyle w:val="8"/>
          <w:rFonts w:eastAsia="Tahoma"/>
          <w:i/>
          <w:iCs/>
          <w:color w:val="auto"/>
          <w:u w:val="none"/>
          <w:shd w:val="clear" w:color="auto" w:fill="FFFFFF"/>
        </w:rPr>
        <w:t>чл. 140, параграф 3</w:t>
      </w:r>
      <w:r>
        <w:rPr>
          <w:rStyle w:val="8"/>
          <w:rFonts w:eastAsia="Tahoma"/>
          <w:i/>
          <w:iCs/>
          <w:color w:val="auto"/>
          <w:u w:val="none"/>
          <w:shd w:val="clear" w:color="auto" w:fill="FFFFFF"/>
        </w:rPr>
        <w:fldChar w:fldCharType="end"/>
      </w:r>
      <w:r>
        <w:rPr>
          <w:rFonts w:eastAsia="Tahoma"/>
          <w:i/>
          <w:iCs/>
          <w:shd w:val="clear" w:color="auto" w:fill="FFFFFF"/>
        </w:rPr>
        <w:t> от </w:t>
      </w:r>
      <w:r>
        <w:fldChar w:fldCharType="begin"/>
      </w:r>
      <w:r>
        <w:instrText xml:space="preserve"> HYPERLINK "javascript:%20NavigateDocument('%D0%94%D0%A4%D0%95%D0%A1');" </w:instrText>
      </w:r>
      <w:r>
        <w:fldChar w:fldCharType="separate"/>
      </w:r>
      <w:r>
        <w:rPr>
          <w:rStyle w:val="8"/>
          <w:rFonts w:eastAsia="Tahoma"/>
          <w:i/>
          <w:iCs/>
          <w:color w:val="auto"/>
          <w:u w:val="none"/>
          <w:shd w:val="clear" w:color="auto" w:fill="FFFFFF"/>
        </w:rPr>
        <w:t>ДФЕС</w:t>
      </w:r>
      <w:r>
        <w:rPr>
          <w:rStyle w:val="8"/>
          <w:rFonts w:eastAsia="Tahoma"/>
          <w:i/>
          <w:iCs/>
          <w:color w:val="auto"/>
          <w:u w:val="none"/>
          <w:shd w:val="clear" w:color="auto" w:fill="FFFFFF"/>
        </w:rPr>
        <w:fldChar w:fldCharType="end"/>
      </w:r>
      <w:r>
        <w:rPr>
          <w:rFonts w:eastAsia="Tahoma"/>
          <w:i/>
          <w:iCs/>
          <w:shd w:val="clear" w:color="auto" w:fill="FFFFFF"/>
        </w:rPr>
        <w:t>.</w:t>
      </w:r>
      <w:r>
        <w:rPr>
          <w:i/>
          <w:iCs/>
        </w:rPr>
        <w:t xml:space="preserve"> Обозначаването на сумите в лева се прилага до изтичане на периода на двойно обозначаване на цените на стоките и услугите, определен в Закона за въвеждане на еврото в Република България, а след неговото изтичане се прилагат единствено сумите, обозначени в евро.</w:t>
      </w:r>
    </w:p>
    <w:p w14:paraId="3321B601">
      <w:pPr>
        <w:jc w:val="center"/>
        <w:rPr>
          <w:b/>
        </w:rPr>
      </w:pPr>
    </w:p>
    <w:p w14:paraId="32B5E862">
      <w:pPr>
        <w:jc w:val="center"/>
        <w:rPr>
          <w:b/>
        </w:rPr>
      </w:pPr>
    </w:p>
    <w:p w14:paraId="5D1E9DA3">
      <w:pPr>
        <w:jc w:val="center"/>
        <w:rPr>
          <w:b/>
        </w:rPr>
      </w:pPr>
    </w:p>
    <w:p w14:paraId="46A11265">
      <w:pPr>
        <w:jc w:val="center"/>
        <w:rPr>
          <w:b/>
        </w:rPr>
      </w:pPr>
    </w:p>
    <w:p w14:paraId="733F52E2">
      <w:pPr>
        <w:jc w:val="center"/>
        <w:rPr>
          <w:b/>
        </w:rPr>
      </w:pPr>
    </w:p>
    <w:p w14:paraId="42ACE35E">
      <w:pPr>
        <w:jc w:val="center"/>
        <w:rPr>
          <w:b/>
        </w:rPr>
      </w:pPr>
    </w:p>
    <w:p w14:paraId="1F858630">
      <w:pPr>
        <w:jc w:val="center"/>
        <w:rPr>
          <w:b/>
        </w:rPr>
      </w:pPr>
    </w:p>
    <w:p w14:paraId="3E24C453">
      <w:pPr>
        <w:jc w:val="center"/>
        <w:rPr>
          <w:b/>
        </w:rPr>
      </w:pPr>
    </w:p>
    <w:p w14:paraId="576E5DC4">
      <w:pPr>
        <w:jc w:val="center"/>
        <w:rPr>
          <w:b/>
        </w:rPr>
      </w:pPr>
    </w:p>
    <w:p w14:paraId="764DA8D0">
      <w:pPr>
        <w:jc w:val="center"/>
        <w:rPr>
          <w:b/>
        </w:rPr>
      </w:pPr>
    </w:p>
    <w:p w14:paraId="134AEB6C">
      <w:pPr>
        <w:jc w:val="center"/>
        <w:rPr>
          <w:b/>
        </w:rPr>
      </w:pPr>
    </w:p>
    <w:p w14:paraId="306861C5">
      <w:pPr>
        <w:jc w:val="center"/>
        <w:rPr>
          <w:b/>
        </w:rPr>
      </w:pPr>
    </w:p>
    <w:p w14:paraId="14BA02C3">
      <w:pPr>
        <w:jc w:val="center"/>
        <w:rPr>
          <w:b/>
        </w:rPr>
      </w:pPr>
    </w:p>
    <w:p w14:paraId="093F217E">
      <w:pPr>
        <w:jc w:val="center"/>
        <w:rPr>
          <w:b/>
        </w:rPr>
      </w:pPr>
    </w:p>
    <w:p w14:paraId="4DA4E81E">
      <w:pPr>
        <w:jc w:val="center"/>
        <w:rPr>
          <w:b/>
        </w:rPr>
      </w:pPr>
    </w:p>
    <w:p w14:paraId="774095EA">
      <w:pPr>
        <w:jc w:val="center"/>
        <w:rPr>
          <w:b/>
        </w:rPr>
      </w:pPr>
    </w:p>
    <w:p w14:paraId="468DE49B">
      <w:pPr>
        <w:jc w:val="center"/>
        <w:rPr>
          <w:b/>
        </w:rPr>
      </w:pPr>
      <w:bookmarkStart w:id="0" w:name="_GoBack"/>
      <w:bookmarkEnd w:id="0"/>
    </w:p>
    <w:sectPr>
      <w:pgSz w:w="11906" w:h="16838"/>
      <w:pgMar w:top="960" w:right="986" w:bottom="998" w:left="13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Kvan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Bookman Old Style">
    <w:panose1 w:val="02050604050505020204"/>
    <w:charset w:val="CC"/>
    <w:family w:val="roman"/>
    <w:pitch w:val="default"/>
    <w:sig w:usb0="00000287" w:usb1="00000000" w:usb2="00000000" w:usb3="00000000" w:csb0="2000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976C43"/>
    <w:multiLevelType w:val="singleLevel"/>
    <w:tmpl w:val="3A976C43"/>
    <w:lvl w:ilvl="0" w:tentative="0">
      <w:start w:val="21"/>
      <w:numFmt w:val="decimal"/>
      <w:suff w:val="space"/>
      <w:lvlText w:val="%1."/>
      <w:lvlJc w:val="left"/>
    </w:lvl>
  </w:abstractNum>
  <w:abstractNum w:abstractNumId="1">
    <w:nsid w:val="7D8DE89A"/>
    <w:multiLevelType w:val="singleLevel"/>
    <w:tmpl w:val="7D8DE89A"/>
    <w:lvl w:ilvl="0" w:tentative="0">
      <w:start w:val="2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720"/>
  <w:hyphenationZone w:val="425"/>
  <w:drawingGridVerticalSpacing w:val="156"/>
  <w:noPunctuationKerning w:val="1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D61C3"/>
    <w:rsid w:val="002B62A9"/>
    <w:rsid w:val="002C7CD4"/>
    <w:rsid w:val="003A69A5"/>
    <w:rsid w:val="00665431"/>
    <w:rsid w:val="00785845"/>
    <w:rsid w:val="008B5CE6"/>
    <w:rsid w:val="00B1372F"/>
    <w:rsid w:val="00F036C1"/>
    <w:rsid w:val="08040590"/>
    <w:rsid w:val="0AD255FB"/>
    <w:rsid w:val="0B8A164B"/>
    <w:rsid w:val="0C5A0B1E"/>
    <w:rsid w:val="0D193C59"/>
    <w:rsid w:val="101A2EB0"/>
    <w:rsid w:val="104072BA"/>
    <w:rsid w:val="12B92E86"/>
    <w:rsid w:val="13404638"/>
    <w:rsid w:val="159E665F"/>
    <w:rsid w:val="17D13AD5"/>
    <w:rsid w:val="18D9445C"/>
    <w:rsid w:val="1EEA7B70"/>
    <w:rsid w:val="1EF42755"/>
    <w:rsid w:val="20D7555A"/>
    <w:rsid w:val="213110FE"/>
    <w:rsid w:val="24407726"/>
    <w:rsid w:val="26F50B46"/>
    <w:rsid w:val="28BF6F68"/>
    <w:rsid w:val="2DD85A78"/>
    <w:rsid w:val="2E412CAC"/>
    <w:rsid w:val="2FEE3628"/>
    <w:rsid w:val="31900060"/>
    <w:rsid w:val="326A53EE"/>
    <w:rsid w:val="345028D5"/>
    <w:rsid w:val="346C040E"/>
    <w:rsid w:val="357D3633"/>
    <w:rsid w:val="360C593C"/>
    <w:rsid w:val="375E189F"/>
    <w:rsid w:val="3CE626B3"/>
    <w:rsid w:val="424E4805"/>
    <w:rsid w:val="432E509D"/>
    <w:rsid w:val="47904979"/>
    <w:rsid w:val="4BEF08FA"/>
    <w:rsid w:val="4D7B7DB5"/>
    <w:rsid w:val="4DEE4F14"/>
    <w:rsid w:val="4E244E42"/>
    <w:rsid w:val="4FEA20D5"/>
    <w:rsid w:val="5217603C"/>
    <w:rsid w:val="530E392A"/>
    <w:rsid w:val="5479197D"/>
    <w:rsid w:val="550D61C3"/>
    <w:rsid w:val="5812067F"/>
    <w:rsid w:val="5AD1345A"/>
    <w:rsid w:val="5C0B0191"/>
    <w:rsid w:val="5E0C5358"/>
    <w:rsid w:val="5E6A1984"/>
    <w:rsid w:val="5F332BBC"/>
    <w:rsid w:val="618B1C58"/>
    <w:rsid w:val="64246FC7"/>
    <w:rsid w:val="65F8295A"/>
    <w:rsid w:val="6C0E4753"/>
    <w:rsid w:val="6C1B11DE"/>
    <w:rsid w:val="6C51676E"/>
    <w:rsid w:val="6C5F4FE0"/>
    <w:rsid w:val="6ECA4FB0"/>
    <w:rsid w:val="758170A7"/>
    <w:rsid w:val="75AC5951"/>
    <w:rsid w:val="77884111"/>
    <w:rsid w:val="78EA3AE5"/>
    <w:rsid w:val="7F14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bg-BG" w:eastAsia="bg-BG" w:bidi="ar-SA"/>
    </w:rPr>
  </w:style>
  <w:style w:type="paragraph" w:styleId="2">
    <w:name w:val="heading 2"/>
    <w:basedOn w:val="1"/>
    <w:unhideWhenUsed/>
    <w:qFormat/>
    <w:uiPriority w:val="9"/>
    <w:pPr>
      <w:spacing w:before="9"/>
      <w:ind w:left="-1" w:right="301"/>
      <w:jc w:val="center"/>
      <w:outlineLvl w:val="1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"/>
    <w:basedOn w:val="1"/>
    <w:qFormat/>
    <w:uiPriority w:val="0"/>
    <w:pPr>
      <w:spacing w:after="120"/>
      <w:ind w:left="283"/>
    </w:pPr>
  </w:style>
  <w:style w:type="paragraph" w:styleId="6">
    <w:name w:val="footer"/>
    <w:basedOn w:val="1"/>
    <w:unhideWhenUsed/>
    <w:qFormat/>
    <w:uiPriority w:val="0"/>
    <w:pPr>
      <w:tabs>
        <w:tab w:val="center" w:pos="4536"/>
        <w:tab w:val="right" w:pos="9072"/>
      </w:tabs>
      <w:spacing w:after="0"/>
    </w:pPr>
    <w:rPr>
      <w:rFonts w:eastAsiaTheme="minorHAnsi"/>
      <w:lang w:eastAsia="en-US"/>
    </w:rPr>
  </w:style>
  <w:style w:type="paragraph" w:styleId="7">
    <w:name w:val="header"/>
    <w:basedOn w:val="1"/>
    <w:unhideWhenUsed/>
    <w:qFormat/>
    <w:uiPriority w:val="0"/>
    <w:pPr>
      <w:tabs>
        <w:tab w:val="center" w:pos="4536"/>
        <w:tab w:val="right" w:pos="9072"/>
      </w:tabs>
      <w:spacing w:after="0"/>
    </w:pPr>
    <w:rPr>
      <w:rFonts w:eastAsiaTheme="minorHAnsi"/>
      <w:lang w:eastAsia="en-US"/>
    </w:rPr>
  </w:style>
  <w:style w:type="character" w:styleId="8">
    <w:name w:val="Hyperlink"/>
    <w:basedOn w:val="3"/>
    <w:qFormat/>
    <w:uiPriority w:val="0"/>
    <w:rPr>
      <w:color w:val="0000FF"/>
      <w:u w:val="single"/>
    </w:rPr>
  </w:style>
  <w:style w:type="character" w:customStyle="1" w:styleId="9">
    <w:name w:val="al_t2"/>
    <w:basedOn w:val="3"/>
    <w:qFormat/>
    <w:uiPriority w:val="0"/>
  </w:style>
  <w:style w:type="paragraph" w:styleId="10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bg-BG" w:eastAsia="bg-BG" w:bidi="ar-SA"/>
    </w:rPr>
  </w:style>
  <w:style w:type="character" w:customStyle="1" w:styleId="11">
    <w:name w:val="al_a2"/>
    <w:qFormat/>
    <w:uiPriority w:val="0"/>
  </w:style>
  <w:style w:type="paragraph" w:customStyle="1" w:styleId="12">
    <w:name w:val="Text"/>
    <w:basedOn w:val="1"/>
    <w:qFormat/>
    <w:uiPriority w:val="0"/>
    <w:pPr>
      <w:ind w:firstLine="851"/>
      <w:jc w:val="both"/>
    </w:pPr>
    <w:rPr>
      <w:rFonts w:ascii="Kvant" w:hAnsi="Kvant"/>
      <w:spacing w:val="10"/>
      <w:sz w:val="26"/>
      <w:lang w:val="en-GB" w:eastAsia="en-US"/>
    </w:rPr>
  </w:style>
  <w:style w:type="paragraph" w:customStyle="1" w:styleId="13">
    <w:name w:val="Table Paragraph"/>
    <w:basedOn w:val="1"/>
    <w:qFormat/>
    <w:uiPriority w:val="1"/>
  </w:style>
  <w:style w:type="table" w:customStyle="1" w:styleId="14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3276</Words>
  <Characters>18679</Characters>
  <Lines>155</Lines>
  <Paragraphs>43</Paragraphs>
  <TotalTime>0</TotalTime>
  <ScaleCrop>false</ScaleCrop>
  <LinksUpToDate>false</LinksUpToDate>
  <CharactersWithSpaces>21912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2025-01-11T14:13:00Z</dcterms:created>
  <dc:creator>user</dc:creator>
  <cp:lastModifiedBy>user</cp:lastModifiedBy>
  <dcterms:modified xsi:type="dcterms:W3CDTF">2025-10-21T13:21:06Z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5C879EAAF2AC4D119E0F26CF362BB17D_13</vt:lpwstr>
  </property>
</Properties>
</file>